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50" w:type="dxa"/>
        <w:tblCellSpacing w:w="0" w:type="dxa"/>
        <w:tblBorders>
          <w:top w:val="single" w:sz="18" w:space="0" w:color="A52A2A"/>
          <w:bottom w:val="single" w:sz="18" w:space="0" w:color="A52A2A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20"/>
        <w:gridCol w:w="6030"/>
      </w:tblGrid>
      <w:tr w:rsidR="00B826DD" w:rsidRPr="00B826DD" w:rsidTr="00B826DD">
        <w:trPr>
          <w:trHeight w:val="375"/>
          <w:tblCellSpacing w:w="0" w:type="dxa"/>
        </w:trPr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Postcode</w:t>
            </w:r>
          </w:p>
        </w:tc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3053</w:t>
            </w:r>
          </w:p>
        </w:tc>
      </w:tr>
      <w:tr w:rsidR="00B826DD" w:rsidRPr="00B826DD" w:rsidTr="00B826DD">
        <w:trPr>
          <w:trHeight w:val="375"/>
          <w:tblCellSpacing w:w="0" w:type="dxa"/>
        </w:trPr>
        <w:tc>
          <w:tcPr>
            <w:tcW w:w="0" w:type="auto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Suburb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Carlton</w:t>
            </w:r>
          </w:p>
        </w:tc>
      </w:tr>
      <w:tr w:rsidR="00B826DD" w:rsidRPr="00B826DD" w:rsidTr="00B826DD">
        <w:trPr>
          <w:trHeight w:val="375"/>
          <w:tblCellSpacing w:w="0" w:type="dxa"/>
        </w:trPr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Population size in 2011</w:t>
            </w:r>
          </w:p>
        </w:tc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13,509 People</w:t>
            </w:r>
          </w:p>
        </w:tc>
      </w:tr>
      <w:tr w:rsidR="00B826DD" w:rsidRPr="00B826DD" w:rsidTr="00B826DD">
        <w:trPr>
          <w:trHeight w:val="375"/>
          <w:tblCellSpacing w:w="0" w:type="dxa"/>
        </w:trPr>
        <w:tc>
          <w:tcPr>
            <w:tcW w:w="0" w:type="auto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Born in Australia (%)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37.05 %</w:t>
            </w:r>
          </w:p>
        </w:tc>
      </w:tr>
      <w:tr w:rsidR="00B826DD" w:rsidRPr="00B826DD" w:rsidTr="00B826DD">
        <w:trPr>
          <w:trHeight w:val="375"/>
          <w:tblCellSpacing w:w="0" w:type="dxa"/>
        </w:trPr>
        <w:tc>
          <w:tcPr>
            <w:tcW w:w="0" w:type="auto"/>
            <w:gridSpan w:val="2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Born Overseas - Top 5 (%)</w:t>
            </w: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1. Born elsewhere (9.99%)</w:t>
            </w:r>
          </w:p>
        </w:tc>
        <w:tc>
          <w:tcPr>
            <w:tcW w:w="0" w:type="auto"/>
            <w:vMerge w:val="restart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7"/>
                <w:szCs w:val="17"/>
                <w:lang w:eastAsia="en-AU"/>
              </w:rPr>
              <w:drawing>
                <wp:inline distT="0" distB="0" distL="0" distR="0">
                  <wp:extent cx="1428750" cy="1190625"/>
                  <wp:effectExtent l="0" t="0" r="0" b="9525"/>
                  <wp:docPr id="6" name="Picture 6" descr="http://chart.apis.google.com/chart?cht=bvg&amp;chs=150x125&amp;chd=t:40,39.2,36,16,14&amp;chbh=15&amp;chf=bg,s,E3E3E3&amp;chxt=y,x&amp;chxl=0:|0|5|10|15|20|25|1:|1|2|3|4|5&amp;chtt=Born%20Overseas%20-%20Top%205%20(%25)&amp;chts=000000,12&amp;chco=00FF00|0000FF|FF0000|99FFFF|FF9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hart.apis.google.com/chart?cht=bvg&amp;chs=150x125&amp;chd=t:40,39.2,36,16,14&amp;chbh=15&amp;chf=bg,s,E3E3E3&amp;chxt=y,x&amp;chxl=0:|0|5|10|15|20|25|1:|1|2|3|4|5&amp;chtt=Born%20Overseas%20-%20Top%205%20(%25)&amp;chts=000000,12&amp;chco=00FF00|0000FF|FF0000|99FFFF|FF99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 xml:space="preserve">2. China </w:t>
            </w:r>
            <w:proofErr w:type="spellStart"/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excl</w:t>
            </w:r>
            <w:proofErr w:type="spellEnd"/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 xml:space="preserve"> SARs and Taiwan (9.77%)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3. Malaysia (9.02%)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4. Singapore (3.95%)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5. Indonesia (3.52%)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rHeight w:val="375"/>
          <w:tblCellSpacing w:w="0" w:type="dxa"/>
        </w:trPr>
        <w:tc>
          <w:tcPr>
            <w:tcW w:w="0" w:type="auto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Age Median of People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25 Year old</w:t>
            </w:r>
          </w:p>
        </w:tc>
      </w:tr>
      <w:tr w:rsidR="00B826DD" w:rsidRPr="00B826DD" w:rsidTr="00B826DD">
        <w:trPr>
          <w:trHeight w:val="375"/>
          <w:tblCellSpacing w:w="0" w:type="dxa"/>
        </w:trPr>
        <w:tc>
          <w:tcPr>
            <w:tcW w:w="0" w:type="auto"/>
            <w:gridSpan w:val="2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Age Statistics (%)</w:t>
            </w: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1. 0 - 12 Years (6.47%)</w:t>
            </w:r>
          </w:p>
        </w:tc>
        <w:tc>
          <w:tcPr>
            <w:tcW w:w="0" w:type="auto"/>
            <w:vMerge w:val="restart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7"/>
                <w:szCs w:val="17"/>
                <w:lang w:eastAsia="en-AU"/>
              </w:rPr>
              <w:drawing>
                <wp:inline distT="0" distB="0" distL="0" distR="0">
                  <wp:extent cx="1428750" cy="1190625"/>
                  <wp:effectExtent l="0" t="0" r="0" b="9525"/>
                  <wp:docPr id="5" name="Picture 5" descr="http://chart.apis.google.com/chart?cht=bvg&amp;chs=150x125&amp;chd=t:6.5,10.3,63.1,11.8,9.3&amp;chbh=15&amp;chf=bg,s,E3E3E3&amp;chxt=y,x&amp;chxl=0:|0|20|40|60|80|100|1:|1|2|3|4|5&amp;chtt=Age%20Statistics%20(%25)&amp;chts=000000,12&amp;chco=00FF00|0000FF|FF0000|99FFFF|FF9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hart.apis.google.com/chart?cht=bvg&amp;chs=150x125&amp;chd=t:6.5,10.3,63.1,11.8,9.3&amp;chbh=15&amp;chf=bg,s,E3E3E3&amp;chxt=y,x&amp;chxl=0:|0|20|40|60|80|100|1:|1|2|3|4|5&amp;chtt=Age%20Statistics%20(%25)&amp;chts=000000,12&amp;chco=00FF00|0000FF|FF0000|99FFFF|FF99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2. 13 - 19 Years (10.34%)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3. 20 - 39 Years (63.10%)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4. 40 - 59 Years (11.83%)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5. 60+ Years (9.26%)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rHeight w:val="375"/>
          <w:tblCellSpacing w:w="0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Family Statistics (%)</w:t>
            </w: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1. Married in a Registered Marriage (16.23%)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7"/>
                <w:szCs w:val="17"/>
                <w:lang w:eastAsia="en-AU"/>
              </w:rPr>
              <w:drawing>
                <wp:inline distT="0" distB="0" distL="0" distR="0">
                  <wp:extent cx="1428750" cy="1190625"/>
                  <wp:effectExtent l="0" t="0" r="0" b="9525"/>
                  <wp:docPr id="4" name="Picture 4" descr="http://chart.apis.google.com/chart?cht=bvg&amp;chs=150x125&amp;chd=t:16.2,10.8,73&amp;chbh=15&amp;chf=bg,s,FFFFFF&amp;chxt=y,x&amp;chxl=0:|0|20|40|60|80|100|1:|1|2|3|4|5&amp;chtt=Family%20Statistics%20(%25)&amp;chts=000000,12&amp;chco=00FF00|0000FF|FF0000|99FFFF|FF9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chart.apis.google.com/chart?cht=bvg&amp;chs=150x125&amp;chd=t:16.2,10.8,73&amp;chbh=15&amp;chf=bg,s,FFFFFF&amp;chxt=y,x&amp;chxl=0:|0|20|40|60|80|100|1:|1|2|3|4|5&amp;chtt=Family%20Statistics%20(%25)&amp;chts=000000,12&amp;chco=00FF00|0000FF|FF0000|99FFFF|FF99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2. Married in a De Facto Marriage (10.77%)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3. Not Married (73.00%)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rHeight w:val="375"/>
          <w:tblCellSpacing w:w="0" w:type="dxa"/>
        </w:trPr>
        <w:tc>
          <w:tcPr>
            <w:tcW w:w="0" w:type="auto"/>
            <w:gridSpan w:val="2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Religion Statistics (%)</w:t>
            </w: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1. Christianity (29.03%)</w:t>
            </w:r>
          </w:p>
        </w:tc>
        <w:tc>
          <w:tcPr>
            <w:tcW w:w="0" w:type="auto"/>
            <w:vMerge w:val="restart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7"/>
                <w:szCs w:val="17"/>
                <w:lang w:eastAsia="en-AU"/>
              </w:rPr>
              <w:drawing>
                <wp:inline distT="0" distB="0" distL="0" distR="0">
                  <wp:extent cx="1428750" cy="1190625"/>
                  <wp:effectExtent l="0" t="0" r="0" b="9525"/>
                  <wp:docPr id="3" name="Picture 3" descr="http://chart.apis.google.com/chart?cht=bvg&amp;chs=150x125&amp;chd=t:58,28.6,19.2,18.2,4,0.8&amp;chbh=15&amp;chf=bg,s,E3E3E3&amp;chxt=y,x&amp;chxl=0:|0|10|20|30|40|50|1:|1|2|3|4|5&amp;chtt=Religion%20Statistics%20(%25)&amp;chts=000000,12&amp;chco=00FF00|0000FF|FF0000|99FFFF|FF9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hart.apis.google.com/chart?cht=bvg&amp;chs=150x125&amp;chd=t:58,28.6,19.2,18.2,4,0.8&amp;chbh=15&amp;chf=bg,s,E3E3E3&amp;chxt=y,x&amp;chxl=0:|0|10|20|30|40|50|1:|1|2|3|4|5&amp;chtt=Religion%20Statistics%20(%25)&amp;chts=000000,12&amp;chco=00FF00|0000FF|FF0000|99FFFF|FF99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2. Others or no religion (14.26%)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3. Buddhism (9.56%)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4. Islam (9.11%)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5. Hinduism (2.04%)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6. Judaism (0.39%)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rHeight w:val="375"/>
          <w:tblCellSpacing w:w="0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Highest Year of School Completed (%)</w:t>
            </w: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1. Year 12 or equivalent (86.82%)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2. Year 11 or equivalent (4.81%)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3. Year 10 or equivalent (3.27%)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4. Year 9 or equivalent (1.66%)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5. Year 8 or below (2.26%)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6. Did not go to school (1.18%)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rHeight w:val="375"/>
          <w:tblCellSpacing w:w="0" w:type="dxa"/>
        </w:trPr>
        <w:tc>
          <w:tcPr>
            <w:tcW w:w="0" w:type="auto"/>
            <w:gridSpan w:val="2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Nature of Property Occupancy</w:t>
            </w: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1. Rented (75.67%)</w:t>
            </w:r>
          </w:p>
        </w:tc>
        <w:tc>
          <w:tcPr>
            <w:tcW w:w="0" w:type="auto"/>
            <w:vMerge w:val="restart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7"/>
                <w:szCs w:val="17"/>
                <w:lang w:eastAsia="en-AU"/>
              </w:rPr>
              <w:drawing>
                <wp:inline distT="0" distB="0" distL="0" distR="0">
                  <wp:extent cx="1428750" cy="1190625"/>
                  <wp:effectExtent l="0" t="0" r="0" b="9525"/>
                  <wp:docPr id="2" name="Picture 2" descr="http://chart.apis.google.com/chart?cht=bvg&amp;chs=150x125&amp;chd=t:75.7,11.8,9.8,2.4,0.4&amp;chbh=15&amp;chf=bg,s,E3E3E3&amp;chxt=y,x&amp;chxl=0:|0|20|40|60|80|100|1:|1|2|3|4|5&amp;chtt=Nature%20of%20Property%20Occupancy&amp;chts=000000,12&amp;chco=00FF00|0000FF|FF0000|99FFFF|FF9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chart.apis.google.com/chart?cht=bvg&amp;chs=150x125&amp;chd=t:75.7,11.8,9.8,2.4,0.4&amp;chbh=15&amp;chf=bg,s,E3E3E3&amp;chxt=y,x&amp;chxl=0:|0|20|40|60|80|100|1:|1|2|3|4|5&amp;chtt=Nature%20of%20Property%20Occupancy&amp;chts=000000,12&amp;chco=00FF00|0000FF|FF0000|99FFFF|FF99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2. Owned outright (11.75%)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3. Owned with a mortgage (9.76%)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4. Not stated (2.39%)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lastRenderedPageBreak/>
              <w:t>5. Other tenure type (0.42%)</w:t>
            </w:r>
          </w:p>
        </w:tc>
        <w:tc>
          <w:tcPr>
            <w:tcW w:w="0" w:type="auto"/>
            <w:vMerge/>
            <w:shd w:val="clear" w:color="auto" w:fill="E3E3E3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rHeight w:val="375"/>
          <w:tblCellSpacing w:w="0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Type of Dwelling (%)</w:t>
            </w: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1. Occupied Flat, unit or apartment (68.92%)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7"/>
                <w:szCs w:val="17"/>
                <w:lang w:eastAsia="en-AU"/>
              </w:rPr>
              <w:drawing>
                <wp:inline distT="0" distB="0" distL="0" distR="0">
                  <wp:extent cx="1428750" cy="1190625"/>
                  <wp:effectExtent l="0" t="0" r="0" b="9525"/>
                  <wp:docPr id="1" name="Picture 1" descr="http://chart.apis.google.com/chart?cht=bvg&amp;chs=150x125&amp;chd=t:68.9,17,10.9,2.7,0.5&amp;chbh=15&amp;chf=bg,s,FFFFFF&amp;chxt=y,x&amp;chxl=0:|0|20|40|60|80|100|1:|1|2|3|4|5&amp;chtt=Type%20of%20Dwelling%20(%25)&amp;chts=000000,12&amp;chco=00FF00|0000FF|FF0000|99FFFF|FF9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chart.apis.google.com/chart?cht=bvg&amp;chs=150x125&amp;chd=t:68.9,17,10.9,2.7,0.5&amp;chbh=15&amp;chf=bg,s,FFFFFF&amp;chxt=y,x&amp;chxl=0:|0|20|40|60|80|100|1:|1|2|3|4|5&amp;chtt=Type%20of%20Dwelling%20(%25)&amp;chts=000000,12&amp;chco=00FF00|0000FF|FF0000|99FFFF|FF99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2. Occupied Semi-detached, terrace house or townhouse (16.97%)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3. Unoccupied private dwellings (10.88%)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4. Occupied Separate house (2.72%)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FFFFFF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5. Occupied Other dwelling incl. not stated (0.52%)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6DD" w:rsidRPr="00B826DD" w:rsidTr="00B826DD">
        <w:trPr>
          <w:trHeight w:val="375"/>
          <w:tblCellSpacing w:w="0" w:type="dxa"/>
        </w:trPr>
        <w:tc>
          <w:tcPr>
            <w:tcW w:w="0" w:type="auto"/>
            <w:gridSpan w:val="2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Income ($/weekly)</w:t>
            </w: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Suburb's median total personal income</w:t>
            </w:r>
          </w:p>
        </w:tc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$366</w:t>
            </w: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State's median total personal income</w:t>
            </w:r>
          </w:p>
        </w:tc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$561</w:t>
            </w: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Suburb's median total family income</w:t>
            </w:r>
          </w:p>
        </w:tc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$1,298</w:t>
            </w: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State's median total family income</w:t>
            </w:r>
          </w:p>
        </w:tc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$1,460</w:t>
            </w: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Suburb's median total household income</w:t>
            </w:r>
          </w:p>
        </w:tc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$634</w:t>
            </w: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State's median total household income</w:t>
            </w:r>
          </w:p>
        </w:tc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$1,216</w:t>
            </w:r>
          </w:p>
        </w:tc>
      </w:tr>
      <w:tr w:rsidR="00B826DD" w:rsidRPr="00B826DD" w:rsidTr="00B826DD">
        <w:trPr>
          <w:trHeight w:val="375"/>
          <w:tblCellSpacing w:w="0" w:type="dxa"/>
        </w:trPr>
        <w:tc>
          <w:tcPr>
            <w:tcW w:w="0" w:type="auto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Median Housing Loan Repayment ($/monthly)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$1,900</w:t>
            </w:r>
          </w:p>
        </w:tc>
      </w:tr>
      <w:tr w:rsidR="00B826DD" w:rsidRPr="00B826DD" w:rsidTr="00B826DD">
        <w:trPr>
          <w:trHeight w:val="375"/>
          <w:tblCellSpacing w:w="0" w:type="dxa"/>
        </w:trPr>
        <w:tc>
          <w:tcPr>
            <w:tcW w:w="0" w:type="auto"/>
            <w:gridSpan w:val="2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en-AU"/>
              </w:rPr>
              <w:t>Median rent ($/weekly)</w:t>
            </w: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Suburb's median rent</w:t>
            </w:r>
          </w:p>
        </w:tc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$341</w:t>
            </w:r>
          </w:p>
        </w:tc>
      </w:tr>
      <w:tr w:rsidR="00B826DD" w:rsidRPr="00B826DD" w:rsidTr="00B826DD">
        <w:trPr>
          <w:tblCellSpacing w:w="0" w:type="dxa"/>
        </w:trPr>
        <w:tc>
          <w:tcPr>
            <w:tcW w:w="5220" w:type="dxa"/>
            <w:shd w:val="clear" w:color="auto" w:fill="E3E3E3"/>
            <w:tcMar>
              <w:top w:w="15" w:type="dxa"/>
              <w:left w:w="300" w:type="dxa"/>
              <w:bottom w:w="15" w:type="dxa"/>
              <w:right w:w="300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State's median rent</w:t>
            </w:r>
          </w:p>
        </w:tc>
        <w:tc>
          <w:tcPr>
            <w:tcW w:w="0" w:type="auto"/>
            <w:shd w:val="clear" w:color="auto" w:fill="E3E3E3"/>
            <w:tcMar>
              <w:top w:w="15" w:type="dxa"/>
              <w:left w:w="300" w:type="dxa"/>
              <w:bottom w:w="15" w:type="dxa"/>
              <w:right w:w="15" w:type="dxa"/>
            </w:tcMar>
            <w:vAlign w:val="center"/>
            <w:hideMark/>
          </w:tcPr>
          <w:p w:rsidR="00B826DD" w:rsidRPr="00B826DD" w:rsidRDefault="00B826DD" w:rsidP="00B826DD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B826DD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$277</w:t>
            </w:r>
          </w:p>
        </w:tc>
      </w:tr>
    </w:tbl>
    <w:p w:rsidR="00894B4D" w:rsidRDefault="00894B4D">
      <w:bookmarkStart w:id="0" w:name="_GoBack"/>
      <w:bookmarkEnd w:id="0"/>
    </w:p>
    <w:sectPr w:rsidR="00894B4D" w:rsidSect="00B826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6DD"/>
    <w:rsid w:val="00894B4D"/>
    <w:rsid w:val="00B8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2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6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2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6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1</cp:revision>
  <dcterms:created xsi:type="dcterms:W3CDTF">2014-02-03T03:50:00Z</dcterms:created>
  <dcterms:modified xsi:type="dcterms:W3CDTF">2014-02-03T03:52:00Z</dcterms:modified>
</cp:coreProperties>
</file>